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9A1CBA" w:rsidP="00991EEA">
      <w:pPr>
        <w:ind w:right="-39"/>
        <w:rPr>
          <w:sz w:val="28"/>
        </w:rPr>
      </w:pPr>
      <w:r>
        <w:rPr>
          <w:sz w:val="28"/>
          <w:u w:val="single"/>
        </w:rPr>
        <w:t>29.12.2021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</w:t>
      </w:r>
      <w:r>
        <w:rPr>
          <w:sz w:val="28"/>
        </w:rPr>
        <w:t xml:space="preserve">                              </w:t>
      </w:r>
      <w:r w:rsidR="004213FA">
        <w:rPr>
          <w:sz w:val="28"/>
        </w:rPr>
        <w:t xml:space="preserve">                                                  </w:t>
      </w:r>
      <w:r w:rsidR="00813D2A">
        <w:rPr>
          <w:sz w:val="28"/>
        </w:rPr>
        <w:t xml:space="preserve">         </w:t>
      </w:r>
      <w:r w:rsidR="004213FA">
        <w:rPr>
          <w:sz w:val="28"/>
        </w:rPr>
        <w:t xml:space="preserve">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1314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</w:t>
      </w:r>
      <w:proofErr w:type="gramStart"/>
      <w:r w:rsidR="00DF0739" w:rsidRPr="00ED3807">
        <w:rPr>
          <w:sz w:val="28"/>
          <w:szCs w:val="28"/>
        </w:rPr>
        <w:t>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</w:t>
      </w:r>
      <w:proofErr w:type="gramEnd"/>
      <w:r w:rsidR="00DF0739" w:rsidRPr="00ED3807">
        <w:rPr>
          <w:sz w:val="28"/>
          <w:szCs w:val="28"/>
        </w:rPr>
        <w:t xml:space="preserve"> приложению  к настоящему </w:t>
      </w:r>
      <w:r w:rsidR="00DF0739" w:rsidRPr="00ED3807">
        <w:rPr>
          <w:sz w:val="28"/>
          <w:szCs w:val="28"/>
        </w:rPr>
        <w:lastRenderedPageBreak/>
        <w:t>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Организационному отделу администрации городского округа Навашинский обеспечить опубликование настоящего постановления </w:t>
      </w:r>
      <w:proofErr w:type="spellStart"/>
      <w:r w:rsidR="00DF0739" w:rsidRPr="00ED3807">
        <w:rPr>
          <w:sz w:val="28"/>
          <w:szCs w:val="28"/>
        </w:rPr>
        <w:t>в</w:t>
      </w:r>
      <w:r w:rsidR="00DF0739">
        <w:rPr>
          <w:sz w:val="28"/>
          <w:szCs w:val="28"/>
        </w:rPr>
        <w:t>официальном</w:t>
      </w:r>
      <w:proofErr w:type="spellEnd"/>
      <w:r w:rsidR="00DF0739">
        <w:rPr>
          <w:sz w:val="28"/>
          <w:szCs w:val="28"/>
        </w:rPr>
        <w:t xml:space="preserve">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174D63" w:rsidRPr="00ED3807" w:rsidRDefault="00174D63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 января 2022 года.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D63">
        <w:rPr>
          <w:sz w:val="28"/>
          <w:szCs w:val="28"/>
        </w:rPr>
        <w:t>4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5B3977">
        <w:rPr>
          <w:sz w:val="24"/>
          <w:szCs w:val="24"/>
        </w:rPr>
        <w:t xml:space="preserve"> </w:t>
      </w:r>
      <w:r w:rsidR="005B3977">
        <w:rPr>
          <w:sz w:val="24"/>
          <w:szCs w:val="24"/>
          <w:u w:val="single"/>
        </w:rPr>
        <w:t>29.12.2021</w:t>
      </w:r>
      <w:r w:rsidR="005B397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B3977">
        <w:rPr>
          <w:sz w:val="24"/>
          <w:szCs w:val="24"/>
        </w:rPr>
        <w:t xml:space="preserve"> </w:t>
      </w:r>
      <w:bookmarkStart w:id="0" w:name="_GoBack"/>
      <w:bookmarkEnd w:id="0"/>
      <w:r w:rsidR="005B3977">
        <w:rPr>
          <w:sz w:val="24"/>
          <w:szCs w:val="24"/>
          <w:u w:val="single"/>
        </w:rPr>
        <w:t>1314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1108EB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</w:tblGrid>
      <w:tr w:rsidR="006A4C72" w:rsidRPr="00C34E2D" w:rsidTr="00E35D7F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E35D7F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E35D7F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1A05B1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1A0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184010,11714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25258,10000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97038,30000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7209,10000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184010,11714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3447,10000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28784,97245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4480,70000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3735,10000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20415,44264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A05B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A05B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нуждающимися в улучшении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C60C6F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40774,80321</w:t>
            </w:r>
          </w:p>
        </w:tc>
      </w:tr>
      <w:tr w:rsidR="00E35D7F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1A05B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1A05B1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1A05B1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16854,98815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C60C6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C60C6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C60C6F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20286,14825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37941,88143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8256,35382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D021C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D021C2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D021C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C60C6F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E35D7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F3A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4341D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</w:t>
            </w:r>
            <w:r w:rsidR="004341DC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D56327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9A1CBA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9A1CBA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</w:t>
      </w:r>
      <w:proofErr w:type="spellStart"/>
      <w:r w:rsidRPr="007F24FC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7F24F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D56327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E66C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512DFE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33903,83769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512DFE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3633,66681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FE" w:rsidRPr="00D90EAB" w:rsidRDefault="00512DFE" w:rsidP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3633,66681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1D27B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25258,10000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97038,30000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7209,10000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184010,11714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647CA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3447,10000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7662,40000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3174,70000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28784,97245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3735,10000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20415,44264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D27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D27B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6876,70000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77B3A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577B3A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40774,80321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77B3A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577B3A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16854,98815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77B3A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577B3A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20286,14825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0D197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28094,45680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13585,17455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14509,28255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5776,86600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5776,86600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37941,88143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8256,35382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59,60000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4CC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274CC6">
              <w:rPr>
                <w:rFonts w:ascii="Times New Roman" w:hAnsi="Times New Roman" w:cs="Times New Roman"/>
                <w:sz w:val="24"/>
                <w:szCs w:val="24"/>
              </w:rPr>
              <w:t>40774,80321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274CC6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274CC6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274CC6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274CC6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40774,80321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16854,98815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20286,14825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5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F50CE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28094,45680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13585,17455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2600,600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14509,28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9B216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5776,86600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5776,86600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B216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B2169">
              <w:rPr>
                <w:rFonts w:ascii="Times New Roman" w:hAnsi="Times New Roman" w:cs="Times New Roman"/>
                <w:bCs/>
                <w:sz w:val="24"/>
                <w:szCs w:val="24"/>
              </w:rPr>
              <w:t>37941,88143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37941,88143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851,20000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8256,35382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6858,75065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303C0F"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025F8E"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025F8E">
              <w:rPr>
                <w:sz w:val="24"/>
                <w:szCs w:val="24"/>
              </w:rPr>
              <w:t>184,30000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</w:t>
            </w:r>
            <w:r w:rsidR="00025F8E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104573,20000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712328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025F8E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839,7000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7" w:rsidRDefault="00D56327" w:rsidP="00B6158F">
      <w:r>
        <w:separator/>
      </w:r>
    </w:p>
  </w:endnote>
  <w:endnote w:type="continuationSeparator" w:id="0">
    <w:p w:rsidR="00D56327" w:rsidRDefault="00D56327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7" w:rsidRDefault="00D56327" w:rsidP="00B6158F">
      <w:r>
        <w:separator/>
      </w:r>
    </w:p>
  </w:footnote>
  <w:footnote w:type="continuationSeparator" w:id="0">
    <w:p w:rsidR="00D56327" w:rsidRDefault="00D56327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B1" w:rsidRDefault="001A05B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977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2A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1CBA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5632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362E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1572-B417-48A5-B6AE-805D336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72</Pages>
  <Words>12525</Words>
  <Characters>71398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110</cp:revision>
  <cp:lastPrinted>2021-12-29T04:23:00Z</cp:lastPrinted>
  <dcterms:created xsi:type="dcterms:W3CDTF">2020-11-20T10:12:00Z</dcterms:created>
  <dcterms:modified xsi:type="dcterms:W3CDTF">2021-12-29T13:23:00Z</dcterms:modified>
</cp:coreProperties>
</file>