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FD6A67" w:rsidRDefault="00B731F6" w:rsidP="00765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8243A8" w:rsidP="008243A8">
      <w:pPr>
        <w:pStyle w:val="ConsPlusTitle"/>
        <w:tabs>
          <w:tab w:val="left" w:pos="9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Pr="00816DAB" w:rsidRDefault="002F5B59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C71336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28.12.2020</w:t>
      </w:r>
      <w:r w:rsidR="00741FAD" w:rsidRPr="00AC5E2A">
        <w:rPr>
          <w:sz w:val="28"/>
          <w:szCs w:val="28"/>
        </w:rPr>
        <w:t xml:space="preserve"> </w:t>
      </w:r>
      <w:r w:rsidR="00741FAD" w:rsidRPr="00090677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 </w:t>
      </w:r>
      <w:r w:rsidR="00E649F9">
        <w:rPr>
          <w:sz w:val="28"/>
          <w:szCs w:val="28"/>
        </w:rPr>
        <w:t xml:space="preserve">                       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1409</w:t>
      </w:r>
    </w:p>
    <w:p w:rsidR="002F5B59" w:rsidRPr="00816DAB" w:rsidRDefault="002F5B59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Pr="00E649F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D85D87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 xml:space="preserve"> 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 (в редакции пос</w:t>
      </w:r>
      <w:r w:rsidR="00045082" w:rsidRPr="00E649F9">
        <w:rPr>
          <w:sz w:val="28"/>
          <w:szCs w:val="28"/>
        </w:rPr>
        <w:t>тановлений а</w:t>
      </w:r>
      <w:r w:rsidR="00D85D87" w:rsidRPr="00E649F9">
        <w:rPr>
          <w:sz w:val="28"/>
          <w:szCs w:val="28"/>
        </w:rPr>
        <w:t>дминистрации городского округа Навашинский от 27.09.2018 № 717, от 01.10.2018 № 725</w:t>
      </w:r>
      <w:r w:rsidR="009A2203" w:rsidRPr="00E649F9">
        <w:rPr>
          <w:sz w:val="28"/>
          <w:szCs w:val="28"/>
        </w:rPr>
        <w:t>, от 27.03.2019 №</w:t>
      </w:r>
      <w:r w:rsidR="00E0064E">
        <w:rPr>
          <w:sz w:val="28"/>
          <w:szCs w:val="28"/>
        </w:rPr>
        <w:t>29</w:t>
      </w:r>
      <w:r w:rsidR="0000748A" w:rsidRPr="00E649F9">
        <w:rPr>
          <w:sz w:val="28"/>
          <w:szCs w:val="28"/>
        </w:rPr>
        <w:t>0</w:t>
      </w:r>
      <w:r w:rsidR="00045082" w:rsidRPr="00E649F9">
        <w:rPr>
          <w:sz w:val="28"/>
          <w:szCs w:val="28"/>
        </w:rPr>
        <w:t>, от 30.07.2019 №697) 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</w:t>
      </w:r>
      <w:proofErr w:type="gramEnd"/>
      <w:r w:rsidR="00D85D87" w:rsidRPr="00E649F9">
        <w:rPr>
          <w:sz w:val="28"/>
          <w:szCs w:val="28"/>
        </w:rPr>
        <w:t xml:space="preserve"> городского округа Навашинский Нижегородской области и методических рекомендаций по разработке 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13412">
        <w:rPr>
          <w:sz w:val="28"/>
          <w:szCs w:val="28"/>
        </w:rPr>
        <w:t xml:space="preserve">    </w:t>
      </w:r>
      <w:r w:rsidR="00045082" w:rsidRPr="00E649F9">
        <w:rPr>
          <w:sz w:val="28"/>
          <w:szCs w:val="28"/>
        </w:rPr>
        <w:t xml:space="preserve"> </w:t>
      </w:r>
      <w:r w:rsidR="00013412">
        <w:rPr>
          <w:sz w:val="28"/>
          <w:szCs w:val="28"/>
        </w:rPr>
        <w:t xml:space="preserve">   </w:t>
      </w:r>
      <w:r w:rsidR="00045082" w:rsidRPr="00E649F9">
        <w:rPr>
          <w:sz w:val="28"/>
          <w:szCs w:val="28"/>
        </w:rPr>
        <w:t>Нижегородской области»</w:t>
      </w:r>
      <w:r w:rsidR="00013412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 xml:space="preserve"> </w:t>
      </w:r>
      <w:r w:rsidR="00013412">
        <w:rPr>
          <w:sz w:val="28"/>
          <w:szCs w:val="28"/>
        </w:rPr>
        <w:t xml:space="preserve">  </w:t>
      </w:r>
      <w:r w:rsidR="00D85D87" w:rsidRPr="00E649F9">
        <w:rPr>
          <w:sz w:val="28"/>
          <w:szCs w:val="28"/>
        </w:rPr>
        <w:t xml:space="preserve">Администрация </w:t>
      </w:r>
      <w:r w:rsidR="00013412">
        <w:rPr>
          <w:sz w:val="28"/>
          <w:szCs w:val="28"/>
        </w:rPr>
        <w:t xml:space="preserve">   </w:t>
      </w:r>
      <w:r w:rsidR="00D85D87" w:rsidRPr="00E649F9">
        <w:rPr>
          <w:sz w:val="28"/>
          <w:szCs w:val="28"/>
        </w:rPr>
        <w:t xml:space="preserve">городского </w:t>
      </w:r>
      <w:r w:rsidR="00013412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013412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Навашинский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 w:rsidR="002F5B59" w:rsidRPr="00E649F9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r w:rsidR="00045082" w:rsidRPr="00E649F9">
        <w:rPr>
          <w:rFonts w:ascii="Times New Roman" w:hAnsi="Times New Roman" w:cs="Times New Roman"/>
          <w:sz w:val="28"/>
          <w:szCs w:val="28"/>
        </w:rPr>
        <w:t>, 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proofErr w:type="gramEnd"/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13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138C">
        <w:rPr>
          <w:rFonts w:ascii="Times New Roman" w:hAnsi="Times New Roman" w:cs="Times New Roman"/>
          <w:sz w:val="28"/>
          <w:szCs w:val="28"/>
        </w:rPr>
        <w:t xml:space="preserve">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AC5E2A" w:rsidRDefault="00AC5E2A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</w:t>
      </w:r>
      <w:r w:rsidR="00C96C2E">
        <w:rPr>
          <w:rFonts w:ascii="Times New Roman" w:hAnsi="Times New Roman" w:cs="Times New Roman"/>
          <w:sz w:val="28"/>
          <w:szCs w:val="28"/>
        </w:rPr>
        <w:t>тупает в силу с 01.01.2021 года и распространяет свое действие на правоотношения, возникшие при формировании бюджета городского округа на 2021 год и на плановый период 2022 и 2023 годов.</w:t>
      </w:r>
    </w:p>
    <w:p w:rsidR="002F5B59" w:rsidRPr="00E649F9" w:rsidRDefault="006232CF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C71336">
        <w:rPr>
          <w:rFonts w:ascii="Times New Roman" w:hAnsi="Times New Roman" w:cs="Times New Roman"/>
          <w:sz w:val="26"/>
          <w:szCs w:val="26"/>
          <w:u w:val="single"/>
        </w:rPr>
        <w:t>28.12.2020</w:t>
      </w:r>
      <w:r w:rsidR="00AC5E2A" w:rsidRPr="00AC5E2A">
        <w:rPr>
          <w:rFonts w:ascii="Times New Roman" w:hAnsi="Times New Roman" w:cs="Times New Roman"/>
          <w:sz w:val="26"/>
          <w:szCs w:val="26"/>
        </w:rPr>
        <w:t>_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C71336">
        <w:rPr>
          <w:rFonts w:ascii="Times New Roman" w:hAnsi="Times New Roman" w:cs="Times New Roman"/>
          <w:sz w:val="26"/>
          <w:szCs w:val="26"/>
          <w:u w:val="single"/>
        </w:rPr>
        <w:t>1409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1B542A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>, 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CA5B54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>, 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 w:rsidR="00E7751A"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09067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>, 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>, 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A7122C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FE7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E750B">
              <w:rPr>
                <w:rFonts w:ascii="Times New Roman" w:hAnsi="Times New Roman" w:cs="Times New Roman"/>
                <w:szCs w:val="22"/>
              </w:rPr>
              <w:t>188988,87755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11000,00000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FE750B" w:rsidP="00B22F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188988,87755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4065,40000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FE750B" w:rsidP="009200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24466,07264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277,40000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E750B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4523,13190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6657,20000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E750B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159999,67301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Анализ обеспеченности дворов элементами внешнего благоустройства показал,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lastRenderedPageBreak/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5C6E66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работ  по благоустройству </w:t>
      </w:r>
      <w:r w:rsidRPr="0025145A">
        <w:rPr>
          <w:sz w:val="26"/>
          <w:szCs w:val="26"/>
        </w:rPr>
        <w:lastRenderedPageBreak/>
        <w:t>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00"/>
        <w:gridCol w:w="2345"/>
        <w:gridCol w:w="2954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862857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900"/>
        <w:gridCol w:w="2344"/>
        <w:gridCol w:w="2954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 xml:space="preserve">» либо для </w:t>
      </w:r>
      <w:r w:rsidRPr="0025145A">
        <w:rPr>
          <w:sz w:val="26"/>
          <w:szCs w:val="26"/>
        </w:rPr>
        <w:lastRenderedPageBreak/>
        <w:t>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E608E5" w:rsidRDefault="00970666" w:rsidP="009706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5145A">
        <w:rPr>
          <w:sz w:val="26"/>
          <w:szCs w:val="26"/>
        </w:rPr>
        <w:t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</w:t>
      </w:r>
      <w:r>
        <w:rPr>
          <w:sz w:val="26"/>
          <w:szCs w:val="26"/>
        </w:rPr>
        <w:t xml:space="preserve"> </w:t>
      </w:r>
      <w:r w:rsidRPr="0025145A">
        <w:rPr>
          <w:sz w:val="26"/>
          <w:szCs w:val="26"/>
        </w:rPr>
        <w:t>для заключения соглашений на выполнение работ по благо</w:t>
      </w:r>
      <w:r>
        <w:rPr>
          <w:sz w:val="26"/>
          <w:szCs w:val="26"/>
        </w:rPr>
        <w:t>устройству дворовых территорий</w:t>
      </w:r>
      <w:r w:rsidRPr="0025145A">
        <w:rPr>
          <w:sz w:val="26"/>
          <w:szCs w:val="26"/>
        </w:rPr>
        <w:t xml:space="preserve">, является срок  </w:t>
      </w:r>
      <w:r w:rsidRPr="0025145A">
        <w:rPr>
          <w:b/>
          <w:sz w:val="26"/>
          <w:szCs w:val="26"/>
        </w:rPr>
        <w:t>1 мая</w:t>
      </w:r>
      <w:r>
        <w:rPr>
          <w:sz w:val="26"/>
          <w:szCs w:val="26"/>
        </w:rPr>
        <w:t xml:space="preserve"> года предоставления субсидии и п</w:t>
      </w:r>
      <w:r w:rsidR="00E608E5" w:rsidRPr="0025145A">
        <w:rPr>
          <w:sz w:val="26"/>
          <w:szCs w:val="26"/>
        </w:rPr>
        <w:t>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E608E5" w:rsidRPr="0025145A">
        <w:rPr>
          <w:sz w:val="26"/>
          <w:szCs w:val="26"/>
        </w:rPr>
        <w:t xml:space="preserve"> соглашений на выполнение работ по благоустр</w:t>
      </w:r>
      <w:r>
        <w:rPr>
          <w:sz w:val="26"/>
          <w:szCs w:val="26"/>
        </w:rPr>
        <w:t>ойству общественных территорий</w:t>
      </w:r>
      <w:r w:rsidR="00E608E5" w:rsidRPr="0025145A">
        <w:rPr>
          <w:sz w:val="26"/>
          <w:szCs w:val="26"/>
        </w:rPr>
        <w:t xml:space="preserve">, является срок </w:t>
      </w:r>
      <w:r w:rsidR="00E608E5" w:rsidRPr="0025145A">
        <w:rPr>
          <w:b/>
          <w:sz w:val="26"/>
          <w:szCs w:val="26"/>
        </w:rPr>
        <w:t xml:space="preserve">1 июля </w:t>
      </w:r>
      <w:r w:rsidR="00D6720F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 xml:space="preserve">состоявшимся по основаниям, предусмотренным законодательством </w:t>
      </w:r>
      <w:r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BE5548">
          <w:pgSz w:w="11907" w:h="16840"/>
          <w:pgMar w:top="993" w:right="708" w:bottom="993" w:left="1418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709"/>
        <w:gridCol w:w="709"/>
        <w:gridCol w:w="883"/>
        <w:gridCol w:w="850"/>
        <w:gridCol w:w="818"/>
        <w:gridCol w:w="851"/>
        <w:gridCol w:w="393"/>
        <w:gridCol w:w="883"/>
      </w:tblGrid>
      <w:tr w:rsidR="009439C7" w:rsidRPr="00195A86" w:rsidTr="00B701E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9439C7" w:rsidRPr="00195A86" w:rsidTr="00B701E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4978C6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9439C7" w:rsidRPr="008D2C79" w:rsidTr="00FE750B">
        <w:trPr>
          <w:cantSplit/>
          <w:trHeight w:val="86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1C7974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526E7A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 w:rsidR="00DE6D2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526E7A" w:rsidRDefault="003978CE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B701E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EE726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9439C7" w:rsidRPr="00195A86" w:rsidTr="00B701EE">
        <w:trPr>
          <w:cantSplit/>
          <w:trHeight w:val="113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2E3E4E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439C7" w:rsidRPr="00CB3E2D" w:rsidRDefault="009439C7" w:rsidP="00B701EE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9439C7" w:rsidRPr="00195A86" w:rsidTr="00B93135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1F5DBB" w:rsidP="004C37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1F5DBB" w:rsidP="00DC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9C7" w:rsidRPr="00195A86" w:rsidTr="00B93135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0A4B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 w:rsidR="00AF7999"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7C6D6B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526E7A" w:rsidRDefault="009439C7" w:rsidP="00B701EE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526E7A" w:rsidRDefault="00CA5B54" w:rsidP="00B701EE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EB0719" w:rsidP="004C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3294,90000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5C11D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5C11D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16183,85158</w:t>
            </w:r>
          </w:p>
        </w:tc>
      </w:tr>
      <w:tr w:rsidR="009439C7" w:rsidRPr="00195A86" w:rsidTr="00B93135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7C6D6B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4C37A6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E726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E726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DC268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CB3E2D" w:rsidRPr="00195A86" w:rsidTr="00B93135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E2D" w:rsidRPr="00CB3E2D" w:rsidRDefault="00CB3E2D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E2D" w:rsidRPr="00CB3E2D" w:rsidRDefault="00CB3E2D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CB3E2D" w:rsidRPr="00195A86" w:rsidTr="00B701E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CB3E2D" w:rsidRPr="00CB3E2D" w:rsidRDefault="00CB3E2D" w:rsidP="00977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B2DA8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E2D" w:rsidRPr="00CB3E2D" w:rsidRDefault="00CB3E2D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E2D" w:rsidRPr="00CB3E2D" w:rsidRDefault="00CA5B54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236D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B701EE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770,50000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B701EE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B701EE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B701EE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4173,85246</w:t>
            </w:r>
          </w:p>
        </w:tc>
      </w:tr>
      <w:tr w:rsidR="006B2DA8" w:rsidRPr="00195A86" w:rsidTr="00B701E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977B3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 w:rsidR="00977B3B"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="002E3E4E"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977B3B" w:rsidP="006B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6B2DA8">
              <w:rPr>
                <w:sz w:val="22"/>
                <w:szCs w:val="22"/>
              </w:rPr>
              <w:t>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DA8" w:rsidRPr="00CB3E2D" w:rsidRDefault="006B2DA8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DA8" w:rsidRPr="00CB3E2D" w:rsidRDefault="006B2DA8" w:rsidP="00B701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2A7B01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1664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664" w:rsidRPr="00F476EB" w:rsidTr="006B2D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7B01" w:rsidRPr="00F476EB" w:rsidTr="006B2DA8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1030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1" w:rsidRPr="00526E7A" w:rsidRDefault="00006687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188988,87755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1" w:rsidRPr="00526E7A" w:rsidRDefault="00006687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006687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F84A9A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006687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006687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4523,13190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6F514F" w:rsidP="005C1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84A9A"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DA091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33FEF"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6657,20000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01EEE" w:rsidRDefault="00006687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006687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159999,67301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B2648C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8" w:rsidRPr="006B2DA8" w:rsidRDefault="002A7B01" w:rsidP="00C11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2A7B01" w:rsidRPr="004B7C9A" w:rsidRDefault="002A7B01" w:rsidP="00CB3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F86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F5DBB" w:rsidP="00F865A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631EAD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1F5DBB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7B01" w:rsidRPr="00B2648C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8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F5DBB" w:rsidP="00CC14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5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5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3369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1F5DBB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B56C7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2120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2120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6B2DA8" w:rsidRDefault="00CB3E2D" w:rsidP="00C11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2. Организация благоустройства общественных пространств</w:t>
            </w:r>
            <w:r w:rsidR="00920003" w:rsidRPr="006B2D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7999"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="00AF7999"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CB3E2D" w:rsidRPr="006B2DA8" w:rsidRDefault="00CB3E2D" w:rsidP="00CB3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F3ABC" w:rsidRDefault="00CB3E2D" w:rsidP="003F282F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F47479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E16B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E1A3E" w:rsidRDefault="00CA5B54" w:rsidP="009200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29166,32018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E16B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A5B54" w:rsidRDefault="00CA5B54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006687" w:rsidP="00F8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20292,22018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B0532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EA5BD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EA5BD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6B2DA8" w:rsidRDefault="00CB3E2D" w:rsidP="00C95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CB3E2D" w:rsidRPr="004B7C9A" w:rsidRDefault="00CB3E2D" w:rsidP="00C9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4F3ABC" w:rsidRDefault="00CB3E2D" w:rsidP="00C956FE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F47479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C9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C956FE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Default="00CB3E2D" w:rsidP="00CB3E2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CB3E2D" w:rsidRPr="00476253" w:rsidRDefault="00476253" w:rsidP="00476253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 w:rsidR="00F47479"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A5B54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E750B" w:rsidRDefault="00FE750B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39822,55737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A5B54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133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E750B" w:rsidRDefault="00FE750B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4173,85246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C4BE9" w:rsidRDefault="00FE750B" w:rsidP="00CB3E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1425,93219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6657,20000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006687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34222,</w:t>
            </w:r>
            <w:r w:rsidR="00FE750B">
              <w:rPr>
                <w:sz w:val="22"/>
                <w:szCs w:val="22"/>
              </w:rPr>
              <w:t>77272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8" w:rsidRDefault="006B2DA8" w:rsidP="00977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Основное мероприятие 5.  </w:t>
            </w:r>
            <w:r w:rsidR="00977B3B" w:rsidRPr="00977B3B">
              <w:rPr>
                <w:rFonts w:ascii="Times New Roman" w:hAnsi="Times New Roman" w:cs="Times New Roman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476253" w:rsidRPr="00977B3B" w:rsidRDefault="00476253" w:rsidP="00977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6B2DA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 w:rsidR="00F47479"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F514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7999">
              <w:rPr>
                <w:sz w:val="22"/>
                <w:szCs w:val="22"/>
              </w:rPr>
              <w:t>0000,00000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F514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6B2DA8">
              <w:rPr>
                <w:sz w:val="22"/>
                <w:szCs w:val="22"/>
              </w:rPr>
              <w:t>000,00000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2022-2024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</w:t>
            </w:r>
            <w:bookmarkStart w:id="2" w:name="_GoBack"/>
            <w:bookmarkEnd w:id="2"/>
            <w:r w:rsidRPr="0047054E">
              <w:rPr>
                <w:rFonts w:eastAsia="Times New Roman"/>
                <w:sz w:val="26"/>
                <w:szCs w:val="26"/>
              </w:rPr>
              <w:t>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66" w:rsidRDefault="005C6E66">
      <w:r>
        <w:separator/>
      </w:r>
    </w:p>
  </w:endnote>
  <w:endnote w:type="continuationSeparator" w:id="0">
    <w:p w:rsidR="005C6E66" w:rsidRDefault="005C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66" w:rsidRDefault="005C6E66">
      <w:r>
        <w:separator/>
      </w:r>
    </w:p>
  </w:footnote>
  <w:footnote w:type="continuationSeparator" w:id="0">
    <w:p w:rsidR="005C6E66" w:rsidRDefault="005C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721F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5C46"/>
    <w:rsid w:val="001F35F8"/>
    <w:rsid w:val="001F3698"/>
    <w:rsid w:val="001F5DBB"/>
    <w:rsid w:val="001F5F4D"/>
    <w:rsid w:val="001F7817"/>
    <w:rsid w:val="001F7834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E7A"/>
    <w:rsid w:val="00530347"/>
    <w:rsid w:val="005313FB"/>
    <w:rsid w:val="005335EB"/>
    <w:rsid w:val="0053609E"/>
    <w:rsid w:val="00537E08"/>
    <w:rsid w:val="00540630"/>
    <w:rsid w:val="0054112C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C6E66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4A33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1336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6AC"/>
    <w:rsid w:val="00F174AC"/>
    <w:rsid w:val="00F214C5"/>
    <w:rsid w:val="00F223DB"/>
    <w:rsid w:val="00F22535"/>
    <w:rsid w:val="00F23ECF"/>
    <w:rsid w:val="00F24981"/>
    <w:rsid w:val="00F26D32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7846-4174-410F-880E-79ADE35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25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42083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27</cp:revision>
  <cp:lastPrinted>2020-12-25T11:21:00Z</cp:lastPrinted>
  <dcterms:created xsi:type="dcterms:W3CDTF">2020-05-28T13:30:00Z</dcterms:created>
  <dcterms:modified xsi:type="dcterms:W3CDTF">2021-01-11T12:59:00Z</dcterms:modified>
</cp:coreProperties>
</file>