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DF0739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7D7E26" w:rsidP="00991EEA">
      <w:pPr>
        <w:ind w:right="-39"/>
        <w:rPr>
          <w:sz w:val="28"/>
        </w:rPr>
      </w:pPr>
      <w:r>
        <w:rPr>
          <w:sz w:val="28"/>
          <w:u w:val="single"/>
        </w:rPr>
        <w:t>15.07.2020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DF0739">
        <w:rPr>
          <w:sz w:val="28"/>
        </w:rPr>
        <w:t xml:space="preserve">№ </w:t>
      </w:r>
      <w:r w:rsidRPr="007D7E26">
        <w:rPr>
          <w:sz w:val="28"/>
          <w:u w:val="single"/>
        </w:rPr>
        <w:t>747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Наваши</w:t>
      </w:r>
      <w:bookmarkStart w:id="0" w:name="_GoBack"/>
      <w:bookmarkEnd w:id="0"/>
      <w:r>
        <w:rPr>
          <w:b/>
          <w:sz w:val="28"/>
          <w:szCs w:val="28"/>
        </w:rPr>
        <w:t xml:space="preserve">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</w:t>
      </w:r>
      <w:proofErr w:type="gramEnd"/>
      <w:r w:rsidRPr="00ED3807">
        <w:t xml:space="preserve">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0739" w:rsidRPr="00ED3807">
        <w:rPr>
          <w:sz w:val="28"/>
          <w:szCs w:val="28"/>
        </w:rPr>
        <w:t>)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</w:t>
      </w:r>
      <w:r w:rsidR="00DF0739" w:rsidRPr="00ED3807">
        <w:rPr>
          <w:sz w:val="28"/>
          <w:szCs w:val="28"/>
        </w:rPr>
        <w:lastRenderedPageBreak/>
        <w:t>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администрации                              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both"/>
        <w:rPr>
          <w:sz w:val="26"/>
          <w:szCs w:val="26"/>
        </w:rPr>
        <w:sectPr w:rsidR="00DF0739" w:rsidSect="00991EEA">
          <w:pgSz w:w="11906" w:h="16838"/>
          <w:pgMar w:top="851" w:right="707" w:bottom="993" w:left="1418" w:header="0" w:footer="0" w:gutter="0"/>
          <w:cols w:space="720"/>
          <w:noEndnote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7D7E26">
        <w:rPr>
          <w:sz w:val="24"/>
          <w:szCs w:val="24"/>
        </w:rPr>
        <w:t xml:space="preserve"> </w:t>
      </w:r>
      <w:r w:rsidR="007D7E26" w:rsidRPr="007D7E26">
        <w:rPr>
          <w:sz w:val="24"/>
          <w:szCs w:val="24"/>
          <w:u w:val="single"/>
        </w:rPr>
        <w:t>15.07.2020</w:t>
      </w:r>
      <w:r w:rsidR="007D7E2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D7E26" w:rsidRPr="007D7E26">
        <w:rPr>
          <w:sz w:val="24"/>
          <w:szCs w:val="24"/>
          <w:u w:val="single"/>
        </w:rPr>
        <w:t>747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BC224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7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12"/>
        <w:gridCol w:w="2116"/>
        <w:gridCol w:w="1845"/>
        <w:gridCol w:w="1136"/>
        <w:gridCol w:w="1140"/>
        <w:gridCol w:w="1136"/>
        <w:gridCol w:w="1136"/>
        <w:gridCol w:w="1135"/>
        <w:gridCol w:w="1276"/>
        <w:gridCol w:w="1189"/>
        <w:gridCol w:w="1191"/>
      </w:tblGrid>
      <w:tr w:rsidR="00CD06A4" w:rsidRPr="00C34E2D" w:rsidTr="00C34E2D">
        <w:trPr>
          <w:gridAfter w:val="2"/>
          <w:wAfter w:w="2380" w:type="dxa"/>
          <w:trHeight w:val="72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1C5DEF">
        <w:trPr>
          <w:gridAfter w:val="2"/>
          <w:wAfter w:w="2380" w:type="dxa"/>
          <w:trHeight w:val="46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43738C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8F4F6A">
        <w:trPr>
          <w:gridAfter w:val="2"/>
          <w:wAfter w:w="2380" w:type="dxa"/>
          <w:trHeight w:val="270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 xml:space="preserve">Объемы финансирования Программы за счет всех </w:t>
            </w:r>
            <w:r w:rsidRPr="007A3EA4">
              <w:rPr>
                <w:sz w:val="24"/>
                <w:szCs w:val="24"/>
              </w:rPr>
              <w:lastRenderedPageBreak/>
              <w:t>источников (в разбивке по подпрограммам)</w:t>
            </w:r>
          </w:p>
        </w:tc>
        <w:tc>
          <w:tcPr>
            <w:tcW w:w="10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6A7900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6A7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95 805483,03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9995,10768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95805,48303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6233,71386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21257,60421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2047,25042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57645,29157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F11E2A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150,000</w:t>
            </w:r>
          </w:p>
        </w:tc>
      </w:tr>
      <w:tr w:rsidR="002645CB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D6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высококвалифицированных специалистов»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45534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46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C6D46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3993,51000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A7900" w:rsidP="008C5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0007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6A7900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34970,52230</w:t>
            </w:r>
          </w:p>
        </w:tc>
      </w:tr>
      <w:tr w:rsidR="0074474C" w:rsidRPr="00F476EB" w:rsidTr="008F4F6A"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D16BA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6A7900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6A790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0"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5D16B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6A7900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5440,98430</w:t>
            </w:r>
          </w:p>
        </w:tc>
        <w:tc>
          <w:tcPr>
            <w:tcW w:w="1189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5C6D46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942177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6A7900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A449E8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8C59C2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DA3829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2E1ACE" w:rsidP="00D27767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4474C" w:rsidRPr="00F476EB" w:rsidTr="008F4F6A">
        <w:trPr>
          <w:gridAfter w:val="2"/>
          <w:wAfter w:w="2380" w:type="dxa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населения городского округа Навашинский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5971,59768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39000,00000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50634,74373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</w:tr>
      <w:tr w:rsidR="00CC53C9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507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E47921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8895,21700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07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E479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8F4F6A">
        <w:trPr>
          <w:gridAfter w:val="2"/>
          <w:wAfter w:w="2380" w:type="dxa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4859F7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43738C">
        <w:trPr>
          <w:gridAfter w:val="2"/>
          <w:wAfter w:w="2380" w:type="dxa"/>
        </w:trPr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6233,71386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21257,60421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2119E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D048B0" w:rsidP="00211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A038E8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DF0156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DF015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E47921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5440,98430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E479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E4792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4196,87994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74E59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E479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21,75386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188,04649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52,81842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E975CE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E975C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14189,87605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1">
              <w:rPr>
                <w:rFonts w:ascii="Times New Roman" w:hAnsi="Times New Roman" w:cs="Times New Roman"/>
                <w:sz w:val="24"/>
                <w:szCs w:val="24"/>
              </w:rPr>
              <w:t>70,25880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9686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C05220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lastRenderedPageBreak/>
        <w:t>2.8. Обоснова</w:t>
      </w:r>
      <w:r w:rsidR="00DA1E04">
        <w:rPr>
          <w:b/>
          <w:sz w:val="28"/>
          <w:szCs w:val="28"/>
        </w:rPr>
        <w:t xml:space="preserve">ние объема финансовых ресурсов </w:t>
      </w:r>
      <w:r w:rsidRPr="00AB3376">
        <w:rPr>
          <w:b/>
          <w:sz w:val="28"/>
          <w:szCs w:val="28"/>
        </w:rPr>
        <w:t xml:space="preserve">муниципальной программы </w:t>
      </w:r>
    </w:p>
    <w:p w:rsidR="00BB5703" w:rsidRPr="00AB3376" w:rsidRDefault="00BB5703" w:rsidP="00BB5703">
      <w:pPr>
        <w:jc w:val="center"/>
        <w:outlineLvl w:val="0"/>
        <w:rPr>
          <w:b/>
          <w:sz w:val="16"/>
          <w:szCs w:val="16"/>
        </w:rPr>
      </w:pPr>
    </w:p>
    <w:p w:rsidR="00BB5703" w:rsidRPr="00AB3376" w:rsidRDefault="00BB5703" w:rsidP="00BB5703">
      <w:pPr>
        <w:ind w:firstLine="72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AB3376" w:rsidRDefault="00BB5703" w:rsidP="007D7E26">
      <w:pPr>
        <w:pStyle w:val="af5"/>
        <w:spacing w:before="60" w:beforeAutospacing="0" w:afterLines="60" w:after="144" w:afterAutospacing="0"/>
        <w:ind w:firstLine="851"/>
        <w:jc w:val="both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D7E26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10490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6233,71386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21257,60421</w:t>
            </w:r>
          </w:p>
        </w:tc>
      </w:tr>
      <w:tr w:rsidR="00CC53C9" w:rsidRPr="00F476EB" w:rsidTr="00104901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6233,71386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21257,60421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297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DF385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BC0AED" w:rsidRPr="00F476EB" w:rsidTr="00DF385C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017DC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90D6E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458C6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458C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90D6E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</w:t>
            </w:r>
            <w:r w:rsidR="00B3483C">
              <w:rPr>
                <w:rFonts w:ascii="Times New Roman" w:hAnsi="Times New Roman" w:cs="Times New Roman"/>
                <w:sz w:val="24"/>
                <w:szCs w:val="24"/>
              </w:rPr>
              <w:t>19114</w:t>
            </w:r>
          </w:p>
        </w:tc>
      </w:tr>
      <w:tr w:rsidR="00BC0AED" w:rsidRPr="00F476EB" w:rsidTr="00685E0E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626CE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458C6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1420C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1C471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348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5400,19114</w:t>
            </w:r>
          </w:p>
        </w:tc>
      </w:tr>
      <w:tr w:rsidR="00BC0AED" w:rsidRPr="00F476EB" w:rsidTr="007452E9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BC0AED" w:rsidRPr="00F476EB" w:rsidTr="00685E0E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CC53C9" w:rsidRPr="00F476EB" w:rsidTr="00104901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</w:tr>
      <w:tr w:rsidR="00CC53C9" w:rsidRPr="00F476EB" w:rsidTr="00104901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9995,10768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43171,82580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17539,08200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10687,28500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95805,48303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6233,71386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8655,41580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2081,58500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2551,28500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21257,60421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2047,25042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14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6237,45640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6762,40000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57645,29157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1373,60000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8683,01825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C57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8219,56900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городского 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24392C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24392C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022B6E" w:rsidP="0024392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456B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CE63A7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3993,51000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4141,82580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8813,86500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9C5707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34970,52230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C570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8B6A7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C570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5440,98430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E63A7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900E2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00E2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C65C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E63A7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C77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9767B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90523D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B02858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B02858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9767BB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B02858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EF3C1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0938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90523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6013,25825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4196,87994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693DA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F960DE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4196,87994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960D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960DE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133AD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AB00F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1016,24</w:t>
            </w:r>
            <w:r w:rsidR="00F83E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133AD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9009A3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046E8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DC2D3F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8796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5971,59768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50634,74373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385,47848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3711,33111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21,75386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188,04649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86,11920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1045,28762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52,81842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0A5C47">
              <w:rPr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C5531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0A5C47">
              <w:rPr>
                <w:sz w:val="24"/>
                <w:szCs w:val="24"/>
              </w:rPr>
              <w:t>5500,000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C55315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8895,21700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EA2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F46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F46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82168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F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1688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82168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E561F5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3544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30704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1155,000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545D6D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hAnsi="Times New Roman" w:cs="Times New Roman"/>
                <w:sz w:val="24"/>
                <w:szCs w:val="24"/>
              </w:rPr>
              <w:t>1155,000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D5221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D5221A">
              <w:rPr>
                <w:rFonts w:ascii="Times New Roman" w:hAnsi="Times New Roman" w:cs="Times New Roman"/>
                <w:sz w:val="24"/>
                <w:szCs w:val="24"/>
              </w:rPr>
              <w:t>34995,39350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D5221A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3993,51000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4141,82580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8813,86500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268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9302,285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E7847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34970,52230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7A59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E784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E7847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5440,98430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439B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460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D78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439B5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20846,51975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02D8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8683,01825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00083E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5211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0083E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23318,77800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2194,26660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2315,93840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3C9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5E0BB1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17305,51975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211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</w:t>
            </w:r>
            <w:r w:rsidR="0000083E">
              <w:rPr>
                <w:rFonts w:ascii="Times New Roman" w:hAnsi="Times New Roman" w:cs="Times New Roman"/>
                <w:sz w:val="24"/>
                <w:szCs w:val="24"/>
              </w:rPr>
              <w:t>25825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4196,87994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825,41580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66A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E7847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4196,87994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964548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1046,240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008F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  <w:r w:rsidR="00B57ED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964548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3541,000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C26A5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C26A55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C152C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C53C9" w:rsidRPr="00D757C0">
              <w:rPr>
                <w:rFonts w:ascii="Times New Roman" w:hAnsi="Times New Roman" w:cs="Times New Roman"/>
                <w:bCs/>
                <w:sz w:val="24"/>
                <w:szCs w:val="24"/>
              </w:rPr>
              <w:t>50634,74373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D31DCB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5971,59768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39000,00000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50634,74373</w:t>
            </w:r>
          </w:p>
        </w:tc>
      </w:tr>
      <w:tr w:rsidR="00CC53C9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5526,61386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7800,00000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14216,48991</w:t>
            </w: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31200,00000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36418,25382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39878,125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7975,625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973C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31902,500</w:t>
            </w:r>
          </w:p>
        </w:tc>
      </w:tr>
      <w:tr w:rsidR="00F77A01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385,47848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3711,33111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21,75386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188,04649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86,11920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1045,28762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52,81842</w:t>
            </w:r>
          </w:p>
        </w:tc>
      </w:tr>
      <w:tr w:rsidR="00D757C0" w:rsidRPr="00F476EB" w:rsidTr="00104901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D0CBE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C757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D33A9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C757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D33A9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14921,000</w:t>
            </w: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C2286C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9E122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69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74,078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7847" w:rsidP="003375F8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8895,21700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ind w:right="80" w:firstLine="80"/>
              <w:jc w:val="center"/>
            </w:pPr>
            <w:r>
              <w:rPr>
                <w:sz w:val="24"/>
                <w:szCs w:val="24"/>
              </w:rPr>
              <w:t>295,13000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A2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200</w:t>
            </w:r>
            <w:r w:rsidRPr="000A24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8695,21700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8219,56900</w:t>
            </w: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20" w:rsidRDefault="00C05220" w:rsidP="00B6158F">
      <w:r>
        <w:separator/>
      </w:r>
    </w:p>
  </w:endnote>
  <w:endnote w:type="continuationSeparator" w:id="0">
    <w:p w:rsidR="00C05220" w:rsidRDefault="00C05220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20" w:rsidRDefault="00C05220" w:rsidP="00B6158F">
      <w:r>
        <w:separator/>
      </w:r>
    </w:p>
  </w:footnote>
  <w:footnote w:type="continuationSeparator" w:id="0">
    <w:p w:rsidR="00C05220" w:rsidRDefault="00C05220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D2" w:rsidRDefault="006A65D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B47"/>
    <w:rsid w:val="001060B5"/>
    <w:rsid w:val="00106FDA"/>
    <w:rsid w:val="001075AD"/>
    <w:rsid w:val="001076EF"/>
    <w:rsid w:val="001103C8"/>
    <w:rsid w:val="00110432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5177"/>
    <w:rsid w:val="001361B7"/>
    <w:rsid w:val="00136C07"/>
    <w:rsid w:val="001370A1"/>
    <w:rsid w:val="001376FB"/>
    <w:rsid w:val="00137D30"/>
    <w:rsid w:val="0014157B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69A7"/>
    <w:rsid w:val="00156E52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50F5"/>
    <w:rsid w:val="0018551C"/>
    <w:rsid w:val="001856AB"/>
    <w:rsid w:val="00185ABB"/>
    <w:rsid w:val="001866F7"/>
    <w:rsid w:val="001869D8"/>
    <w:rsid w:val="00191322"/>
    <w:rsid w:val="00192B20"/>
    <w:rsid w:val="00194755"/>
    <w:rsid w:val="00194C94"/>
    <w:rsid w:val="00196393"/>
    <w:rsid w:val="00197CCF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40AA"/>
    <w:rsid w:val="001B5780"/>
    <w:rsid w:val="001B61C2"/>
    <w:rsid w:val="001B6A15"/>
    <w:rsid w:val="001B6F82"/>
    <w:rsid w:val="001B757F"/>
    <w:rsid w:val="001B7CB7"/>
    <w:rsid w:val="001C0339"/>
    <w:rsid w:val="001C1472"/>
    <w:rsid w:val="001C252E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3222"/>
    <w:rsid w:val="002534AF"/>
    <w:rsid w:val="0025366C"/>
    <w:rsid w:val="00253C90"/>
    <w:rsid w:val="002542D9"/>
    <w:rsid w:val="00255966"/>
    <w:rsid w:val="00255B4A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300F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8D"/>
    <w:rsid w:val="004B1969"/>
    <w:rsid w:val="004B1FD9"/>
    <w:rsid w:val="004B2FD6"/>
    <w:rsid w:val="004B33ED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BF2"/>
    <w:rsid w:val="005B3E53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CCA"/>
    <w:rsid w:val="00684FBC"/>
    <w:rsid w:val="00685756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2498"/>
    <w:rsid w:val="00712ECF"/>
    <w:rsid w:val="0071368C"/>
    <w:rsid w:val="00713D6A"/>
    <w:rsid w:val="00715A44"/>
    <w:rsid w:val="007164F5"/>
    <w:rsid w:val="00716B35"/>
    <w:rsid w:val="007177F3"/>
    <w:rsid w:val="00722146"/>
    <w:rsid w:val="00722FA8"/>
    <w:rsid w:val="0072393A"/>
    <w:rsid w:val="00724C52"/>
    <w:rsid w:val="00725715"/>
    <w:rsid w:val="00726B5C"/>
    <w:rsid w:val="0072724F"/>
    <w:rsid w:val="0072743B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2273"/>
    <w:rsid w:val="007B320D"/>
    <w:rsid w:val="007B4315"/>
    <w:rsid w:val="007B5D3F"/>
    <w:rsid w:val="007B5E5D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D7E26"/>
    <w:rsid w:val="007E1021"/>
    <w:rsid w:val="007E1231"/>
    <w:rsid w:val="007E226F"/>
    <w:rsid w:val="007E2D71"/>
    <w:rsid w:val="007E2DA3"/>
    <w:rsid w:val="007E3325"/>
    <w:rsid w:val="007E4134"/>
    <w:rsid w:val="007E439C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7AD"/>
    <w:rsid w:val="00824B7C"/>
    <w:rsid w:val="0082611F"/>
    <w:rsid w:val="00826D29"/>
    <w:rsid w:val="00827A05"/>
    <w:rsid w:val="00827B44"/>
    <w:rsid w:val="00827BC9"/>
    <w:rsid w:val="008303E0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37BF"/>
    <w:rsid w:val="00843C07"/>
    <w:rsid w:val="00843CC1"/>
    <w:rsid w:val="008455FE"/>
    <w:rsid w:val="00846B49"/>
    <w:rsid w:val="00846D82"/>
    <w:rsid w:val="0084766D"/>
    <w:rsid w:val="00850731"/>
    <w:rsid w:val="00850B6B"/>
    <w:rsid w:val="00850BDF"/>
    <w:rsid w:val="00850E20"/>
    <w:rsid w:val="00850E9A"/>
    <w:rsid w:val="00851110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69C5"/>
    <w:rsid w:val="008E7847"/>
    <w:rsid w:val="008E7BFB"/>
    <w:rsid w:val="008E7DB3"/>
    <w:rsid w:val="008F2394"/>
    <w:rsid w:val="008F25FD"/>
    <w:rsid w:val="008F2E96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3B2B"/>
    <w:rsid w:val="009B40F8"/>
    <w:rsid w:val="009B52DD"/>
    <w:rsid w:val="009B53F0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2207"/>
    <w:rsid w:val="009D221D"/>
    <w:rsid w:val="009D227E"/>
    <w:rsid w:val="009D2759"/>
    <w:rsid w:val="009D346F"/>
    <w:rsid w:val="009D3692"/>
    <w:rsid w:val="009D40FB"/>
    <w:rsid w:val="009D48ED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7A13"/>
    <w:rsid w:val="00A0005B"/>
    <w:rsid w:val="00A02EF5"/>
    <w:rsid w:val="00A03879"/>
    <w:rsid w:val="00A038E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50F8"/>
    <w:rsid w:val="00BA5445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5220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E2D"/>
    <w:rsid w:val="00C34FBE"/>
    <w:rsid w:val="00C3571C"/>
    <w:rsid w:val="00C366CC"/>
    <w:rsid w:val="00C368E1"/>
    <w:rsid w:val="00C36B84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D7B"/>
    <w:rsid w:val="00C974E7"/>
    <w:rsid w:val="00C97C09"/>
    <w:rsid w:val="00CA016C"/>
    <w:rsid w:val="00CA06F7"/>
    <w:rsid w:val="00CA1A0B"/>
    <w:rsid w:val="00CA20FA"/>
    <w:rsid w:val="00CA25C5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D010FB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F24"/>
    <w:rsid w:val="00E24B59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1FE6"/>
    <w:rsid w:val="00EC2114"/>
    <w:rsid w:val="00EC280F"/>
    <w:rsid w:val="00EC52F1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276C"/>
    <w:rsid w:val="00F9323E"/>
    <w:rsid w:val="00F9334E"/>
    <w:rsid w:val="00F937BE"/>
    <w:rsid w:val="00F93B7D"/>
    <w:rsid w:val="00F94BD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1C5B5-1EFC-4DF1-BC9C-E58E464C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64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80504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5</cp:revision>
  <cp:lastPrinted>2020-07-14T11:05:00Z</cp:lastPrinted>
  <dcterms:created xsi:type="dcterms:W3CDTF">2020-07-06T10:36:00Z</dcterms:created>
  <dcterms:modified xsi:type="dcterms:W3CDTF">2020-07-15T12:59:00Z</dcterms:modified>
</cp:coreProperties>
</file>