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522252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06.07.2022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</w:rPr>
        <w:t xml:space="preserve">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561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6E43B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</w:t>
      </w:r>
      <w:proofErr w:type="gramEnd"/>
      <w:r w:rsidR="00EB27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7FE">
        <w:rPr>
          <w:rFonts w:ascii="Times New Roman" w:hAnsi="Times New Roman"/>
          <w:sz w:val="26"/>
          <w:szCs w:val="26"/>
        </w:rPr>
        <w:t>№960</w:t>
      </w:r>
      <w:r w:rsidR="00607A33">
        <w:rPr>
          <w:rFonts w:ascii="Times New Roman" w:hAnsi="Times New Roman"/>
          <w:sz w:val="26"/>
          <w:szCs w:val="26"/>
        </w:rPr>
        <w:t>, от 25.10.2021 №1031</w:t>
      </w:r>
      <w:r w:rsidR="00005FC4">
        <w:rPr>
          <w:rFonts w:ascii="Times New Roman" w:hAnsi="Times New Roman"/>
          <w:sz w:val="26"/>
          <w:szCs w:val="26"/>
        </w:rPr>
        <w:t>, от 01.12.2021 №1167</w:t>
      </w:r>
      <w:r w:rsidR="00E67F18">
        <w:rPr>
          <w:rFonts w:ascii="Times New Roman" w:hAnsi="Times New Roman"/>
          <w:sz w:val="26"/>
          <w:szCs w:val="26"/>
        </w:rPr>
        <w:t>, от 29.12.2021 №1303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  <w:proofErr w:type="gramEnd"/>
    </w:p>
    <w:p w:rsidR="00612BD1" w:rsidRPr="005B750A" w:rsidRDefault="0082229E" w:rsidP="008D0AA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750A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5B750A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B750A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5B750A">
        <w:rPr>
          <w:rFonts w:ascii="Times New Roman" w:hAnsi="Times New Roman"/>
          <w:bCs/>
          <w:sz w:val="26"/>
          <w:szCs w:val="26"/>
        </w:rPr>
        <w:t>телекоммуникационн</w:t>
      </w:r>
      <w:r w:rsidRPr="005B750A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5B750A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-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5B750A">
        <w:rPr>
          <w:rFonts w:ascii="Times New Roman" w:hAnsi="Times New Roman"/>
          <w:bCs/>
          <w:sz w:val="26"/>
          <w:szCs w:val="26"/>
        </w:rPr>
        <w:t>и</w:t>
      </w:r>
      <w:r w:rsidR="00BE6FBC" w:rsidRPr="005B750A">
        <w:rPr>
          <w:rFonts w:ascii="Times New Roman" w:hAnsi="Times New Roman"/>
          <w:bCs/>
          <w:sz w:val="26"/>
          <w:szCs w:val="26"/>
        </w:rPr>
        <w:t xml:space="preserve"> к </w:t>
      </w:r>
      <w:r w:rsidRPr="005B750A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5B750A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E25967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8611B0" w:rsidRDefault="008611B0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</w:p>
    <w:p w:rsidR="006A0A18" w:rsidRDefault="006A0A18" w:rsidP="00861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AE26FC">
        <w:rPr>
          <w:rFonts w:ascii="Times New Roman" w:hAnsi="Times New Roman"/>
          <w:sz w:val="28"/>
          <w:szCs w:val="28"/>
          <w:u w:val="single"/>
        </w:rPr>
        <w:t>06.07.2022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AE26FC">
        <w:rPr>
          <w:rFonts w:ascii="Times New Roman" w:hAnsi="Times New Roman"/>
          <w:sz w:val="28"/>
          <w:szCs w:val="28"/>
          <w:u w:val="single"/>
        </w:rPr>
        <w:t>561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Pr="00607A33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607A33">
        <w:rPr>
          <w:rFonts w:ascii="Times New Roman" w:hAnsi="Times New Roman"/>
          <w:sz w:val="28"/>
          <w:szCs w:val="28"/>
        </w:rPr>
        <w:t xml:space="preserve">, </w:t>
      </w:r>
      <w:r w:rsidR="00607A33" w:rsidRPr="00607A33">
        <w:rPr>
          <w:rFonts w:ascii="Times New Roman" w:hAnsi="Times New Roman"/>
          <w:sz w:val="28"/>
          <w:szCs w:val="28"/>
        </w:rPr>
        <w:t>от 25.10.2021 №1031</w:t>
      </w:r>
      <w:r w:rsidR="00544C0C">
        <w:rPr>
          <w:rFonts w:ascii="Times New Roman" w:hAnsi="Times New Roman"/>
          <w:sz w:val="28"/>
          <w:szCs w:val="28"/>
        </w:rPr>
        <w:t>, от 01.12.2021 №1167</w:t>
      </w:r>
      <w:r w:rsidR="00C6364A">
        <w:rPr>
          <w:rFonts w:ascii="Times New Roman" w:hAnsi="Times New Roman"/>
          <w:sz w:val="28"/>
          <w:szCs w:val="28"/>
        </w:rPr>
        <w:t>, 29.12.2021 №1303</w:t>
      </w:r>
      <w:r w:rsidR="001B5BC0" w:rsidRPr="00607A33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9D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32A">
              <w:rPr>
                <w:rFonts w:ascii="Times New Roman" w:hAnsi="Times New Roman"/>
                <w:b/>
              </w:rPr>
              <w:t>30824,72389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5B555A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9D632A" w:rsidP="00BE03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D632A">
              <w:rPr>
                <w:rFonts w:ascii="Times New Roman" w:hAnsi="Times New Roman"/>
                <w:b/>
                <w:sz w:val="20"/>
                <w:szCs w:val="20"/>
              </w:rPr>
              <w:t>2562,97924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C0557E" w:rsidRDefault="00BE03AA" w:rsidP="0066157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61579">
              <w:rPr>
                <w:rFonts w:ascii="Times New Roman" w:hAnsi="Times New Roman"/>
                <w:b/>
                <w:sz w:val="20"/>
                <w:szCs w:val="20"/>
              </w:rPr>
              <w:t>0824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61579">
              <w:rPr>
                <w:rFonts w:ascii="Times New Roman" w:hAnsi="Times New Roman"/>
                <w:b/>
                <w:sz w:val="20"/>
                <w:szCs w:val="20"/>
              </w:rPr>
              <w:t>72389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BE03AA" w:rsidRDefault="00661579" w:rsidP="00287C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2562,97924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79" w:rsidRPr="005075F7" w:rsidRDefault="00661579" w:rsidP="00287C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27631,75585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101B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61307B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101B7A" w:rsidRPr="00101B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2877FA" w:rsidRDefault="005C05F1" w:rsidP="00BA381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D632A">
              <w:rPr>
                <w:rFonts w:ascii="Times New Roman" w:hAnsi="Times New Roman"/>
                <w:b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A381D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A381D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5C05F1" w:rsidRDefault="005C05F1" w:rsidP="00BA381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C05F1">
              <w:rPr>
                <w:rFonts w:ascii="Times New Roman" w:hAnsi="Times New Roman"/>
                <w:b/>
                <w:sz w:val="20"/>
                <w:szCs w:val="20"/>
              </w:rPr>
              <w:t>27631,75585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3760ED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3760E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3760E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3760ED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</w:t>
            </w:r>
            <w:r w:rsidR="006B51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748ED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</w:t>
            </w:r>
            <w:r w:rsidR="007C7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2B20DE" w:rsidP="00C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DE" w:rsidRPr="009A305C" w:rsidRDefault="002B20DE" w:rsidP="00A73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12612,75585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="00E0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4A1A" w:rsidRPr="007E554E" w:rsidTr="00F34A1A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A1A" w:rsidRPr="007E554E" w:rsidRDefault="00F34A1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34A1A" w:rsidP="00F34A1A">
            <w:pPr>
              <w:jc w:val="center"/>
              <w:rPr>
                <w:rFonts w:ascii="Times New Roman" w:hAnsi="Times New Roman"/>
                <w:b/>
              </w:rPr>
            </w:pPr>
            <w:r w:rsidRPr="00CF25FE">
              <w:rPr>
                <w:rFonts w:ascii="Times New Roman" w:hAnsi="Times New Roman"/>
                <w:b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5FE">
              <w:rPr>
                <w:rFonts w:ascii="Times New Roman" w:hAnsi="Times New Roman"/>
                <w:b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CF25FE" w:rsidP="00F729E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5FE">
              <w:rPr>
                <w:rFonts w:ascii="Times New Roman" w:hAnsi="Times New Roman"/>
                <w:b/>
              </w:rPr>
              <w:t>2562,97924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CF25FE" w:rsidRDefault="00F729E0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5FE">
              <w:rPr>
                <w:rFonts w:ascii="Times New Roman" w:hAnsi="Times New Roman"/>
                <w:b/>
              </w:rPr>
              <w:t>5222</w:t>
            </w:r>
            <w:r w:rsidR="00F34A1A" w:rsidRPr="00CF25FE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729E0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5FE">
              <w:rPr>
                <w:rFonts w:ascii="Times New Roman" w:hAnsi="Times New Roman"/>
                <w:b/>
              </w:rPr>
              <w:t>5222</w:t>
            </w:r>
            <w:r w:rsidR="00F34A1A" w:rsidRPr="00CF25FE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97476C" w:rsidRDefault="00CF25FE" w:rsidP="00F729E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71EE7">
              <w:rPr>
                <w:rFonts w:ascii="Times New Roman" w:hAnsi="Times New Roman"/>
                <w:b/>
              </w:rPr>
              <w:t>27631,75585</w:t>
            </w:r>
          </w:p>
        </w:tc>
      </w:tr>
      <w:tr w:rsidR="00F34A1A" w:rsidRPr="007E554E" w:rsidTr="00142A3A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34A1A" w:rsidP="007F2EE4">
            <w:pPr>
              <w:jc w:val="center"/>
              <w:rPr>
                <w:rFonts w:ascii="Times New Roman" w:hAnsi="Times New Roman"/>
              </w:rPr>
            </w:pPr>
            <w:r w:rsidRPr="00CF25FE">
              <w:rPr>
                <w:rFonts w:ascii="Times New Roman" w:hAnsi="Times New Roman"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CF25FE" w:rsidP="00F729E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2562,97924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CF25FE" w:rsidRDefault="00F729E0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5222</w:t>
            </w:r>
            <w:r w:rsidR="00F34A1A" w:rsidRPr="00CF25FE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CF25FE" w:rsidRDefault="00F729E0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5222</w:t>
            </w:r>
            <w:r w:rsidR="00F34A1A" w:rsidRPr="00CF25FE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CF25FE" w:rsidRDefault="00CF25FE" w:rsidP="00F729E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27631,75585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166"/>
        <w:gridCol w:w="1166"/>
        <w:gridCol w:w="1166"/>
        <w:gridCol w:w="1166"/>
        <w:gridCol w:w="1280"/>
        <w:gridCol w:w="1266"/>
      </w:tblGrid>
      <w:tr w:rsidR="0074659F" w:rsidRPr="00F35929" w:rsidTr="00F172C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F172C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F172C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08D" w:rsidRPr="00F35929" w:rsidTr="00F172C9">
        <w:trPr>
          <w:trHeight w:val="389"/>
        </w:trPr>
        <w:tc>
          <w:tcPr>
            <w:tcW w:w="0" w:type="auto"/>
            <w:vMerge w:val="restart"/>
          </w:tcPr>
          <w:p w:rsidR="005A008D" w:rsidRPr="00F35929" w:rsidRDefault="005A008D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A008D" w:rsidRPr="00F35929" w:rsidRDefault="005A008D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A008D" w:rsidRPr="00F35929" w:rsidRDefault="005A008D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A008D" w:rsidRPr="00BA6FDA" w:rsidRDefault="005A008D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036216" w:rsidRDefault="00036216" w:rsidP="00AA6D1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6216">
              <w:rPr>
                <w:rFonts w:ascii="Times New Roman" w:hAnsi="Times New Roman"/>
                <w:b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A008D" w:rsidRPr="00BA6FDA" w:rsidRDefault="00B1600F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B1600F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:rsidR="005A008D" w:rsidRPr="00AF4F02" w:rsidRDefault="00036216" w:rsidP="007A7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30824,72389</w:t>
            </w: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F172C9" w:rsidRPr="008A0470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F172C9" w:rsidRPr="005075F7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F172C9" w:rsidRPr="00036216" w:rsidRDefault="00036216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6216">
              <w:rPr>
                <w:rFonts w:ascii="Times New Roman" w:hAnsi="Times New Roman"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F172C9" w:rsidRPr="005075F7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F172C9" w:rsidRPr="005075F7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:rsidR="00F172C9" w:rsidRPr="00036216" w:rsidRDefault="00036216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16">
              <w:rPr>
                <w:rFonts w:ascii="Times New Roman" w:hAnsi="Times New Roman"/>
                <w:sz w:val="20"/>
                <w:szCs w:val="20"/>
              </w:rPr>
              <w:t>27631,75585</w:t>
            </w: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F172C9" w:rsidRPr="003C5A8B" w:rsidRDefault="00F172C9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F172C9" w:rsidRPr="003C5A8B" w:rsidRDefault="00F172C9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F172C9" w:rsidRPr="003C5A8B" w:rsidRDefault="00F172C9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172C9" w:rsidRPr="003C5A8B" w:rsidRDefault="00F172C9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F172C9" w:rsidRPr="003C5A8B" w:rsidRDefault="00F172C9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F172C9" w:rsidRPr="003C5A8B" w:rsidRDefault="00F172C9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72C9" w:rsidRDefault="00F172C9" w:rsidP="00F172C9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172C9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30"/>
        </w:trPr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30"/>
        </w:trPr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30"/>
        </w:trPr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72C9" w:rsidRPr="00DE4CE5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F172C9">
            <w:pPr>
              <w:jc w:val="center"/>
              <w:rPr>
                <w:rFonts w:ascii="Times New Roman" w:hAnsi="Times New Roman"/>
              </w:rPr>
            </w:pPr>
          </w:p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9A305C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F172C9" w:rsidRPr="009A305C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2C9" w:rsidRPr="00F35929" w:rsidTr="00F172C9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9A305C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172C9" w:rsidRPr="009A305C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F172C9" w:rsidRPr="00F35929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72C9" w:rsidRPr="00F35929" w:rsidRDefault="00F172C9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72C9" w:rsidRPr="00DE4CE5" w:rsidRDefault="00F172C9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B9596B" w:rsidTr="00F172C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F172C9" w:rsidRDefault="00F172C9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172C9" w:rsidRDefault="00F172C9" w:rsidP="00F172C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F172C9" w:rsidRPr="00F35929" w:rsidRDefault="00F172C9" w:rsidP="00F172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F172C9" w:rsidRPr="00B9596B" w:rsidTr="00F172C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C5A8B" w:rsidRDefault="00F172C9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14650,00000</w:t>
            </w:r>
          </w:p>
        </w:tc>
      </w:tr>
      <w:tr w:rsidR="00F172C9" w:rsidRPr="00F35929" w:rsidTr="00F172C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72C9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F35929" w:rsidRDefault="00F172C9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3C5A8B" w:rsidRDefault="00F172C9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0B1" w:rsidRPr="00F35929" w:rsidTr="00964602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B1" w:rsidRDefault="003140B1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3140B1" w:rsidRDefault="003140B1" w:rsidP="00314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A526C" w:rsidRDefault="00D14D5E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140B1" w:rsidRDefault="003140B1" w:rsidP="0096460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40B1">
              <w:rPr>
                <w:rFonts w:ascii="Times New Roman" w:hAnsi="Times New Roman"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964602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12612,75585</w:t>
            </w:r>
          </w:p>
        </w:tc>
      </w:tr>
      <w:tr w:rsidR="003140B1" w:rsidRPr="00F35929" w:rsidTr="00964602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A526C" w:rsidRDefault="00964602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036216" w:rsidRDefault="003140B1" w:rsidP="0096460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6216">
              <w:rPr>
                <w:rFonts w:ascii="Times New Roman" w:hAnsi="Times New Roman"/>
                <w:sz w:val="20"/>
                <w:szCs w:val="20"/>
              </w:rPr>
              <w:t>2562,97924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4C1391" w:rsidRDefault="00964602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12612,75585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Default="003140B1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3140B1" w:rsidRPr="007E1417" w:rsidRDefault="003140B1" w:rsidP="003140B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B1" w:rsidRPr="003C5A8B" w:rsidRDefault="003140B1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A80209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40B1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F35929" w:rsidRDefault="003140B1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1" w:rsidRPr="003C5A8B" w:rsidRDefault="003140B1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D3" w:rsidRDefault="00E670D3" w:rsidP="00D16CC7">
      <w:pPr>
        <w:spacing w:after="0" w:line="240" w:lineRule="auto"/>
      </w:pPr>
      <w:r>
        <w:separator/>
      </w:r>
    </w:p>
  </w:endnote>
  <w:endnote w:type="continuationSeparator" w:id="0">
    <w:p w:rsidR="00E670D3" w:rsidRDefault="00E670D3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D3" w:rsidRDefault="00E670D3" w:rsidP="00D16CC7">
      <w:pPr>
        <w:spacing w:after="0" w:line="240" w:lineRule="auto"/>
      </w:pPr>
      <w:r>
        <w:separator/>
      </w:r>
    </w:p>
  </w:footnote>
  <w:footnote w:type="continuationSeparator" w:id="0">
    <w:p w:rsidR="00E670D3" w:rsidRDefault="00E670D3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36216"/>
    <w:rsid w:val="00040109"/>
    <w:rsid w:val="00042F5E"/>
    <w:rsid w:val="00045C66"/>
    <w:rsid w:val="00045FA1"/>
    <w:rsid w:val="00047E15"/>
    <w:rsid w:val="000628BC"/>
    <w:rsid w:val="000669A9"/>
    <w:rsid w:val="0008171D"/>
    <w:rsid w:val="00081DE0"/>
    <w:rsid w:val="00085BCE"/>
    <w:rsid w:val="00094B89"/>
    <w:rsid w:val="0009576E"/>
    <w:rsid w:val="00095DDF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4280"/>
    <w:rsid w:val="001252DA"/>
    <w:rsid w:val="0013274B"/>
    <w:rsid w:val="0014272A"/>
    <w:rsid w:val="00142A3A"/>
    <w:rsid w:val="00155C98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A4341"/>
    <w:rsid w:val="001B2F08"/>
    <w:rsid w:val="001B5BC0"/>
    <w:rsid w:val="001C2424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2F4090"/>
    <w:rsid w:val="003003B7"/>
    <w:rsid w:val="00300B97"/>
    <w:rsid w:val="00301262"/>
    <w:rsid w:val="0030321F"/>
    <w:rsid w:val="00303C22"/>
    <w:rsid w:val="003140B1"/>
    <w:rsid w:val="00324835"/>
    <w:rsid w:val="00327401"/>
    <w:rsid w:val="00334C2E"/>
    <w:rsid w:val="00345AF9"/>
    <w:rsid w:val="00345E56"/>
    <w:rsid w:val="0035605B"/>
    <w:rsid w:val="00363759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3F0BE8"/>
    <w:rsid w:val="00403E8F"/>
    <w:rsid w:val="00404079"/>
    <w:rsid w:val="00406D35"/>
    <w:rsid w:val="004079A4"/>
    <w:rsid w:val="00407ED0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CA0"/>
    <w:rsid w:val="004841FF"/>
    <w:rsid w:val="00491346"/>
    <w:rsid w:val="0049199A"/>
    <w:rsid w:val="004974C1"/>
    <w:rsid w:val="004A1E59"/>
    <w:rsid w:val="004B1160"/>
    <w:rsid w:val="004B179F"/>
    <w:rsid w:val="004B3B6A"/>
    <w:rsid w:val="004B761B"/>
    <w:rsid w:val="004C1391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62F4"/>
    <w:rsid w:val="00507035"/>
    <w:rsid w:val="00507543"/>
    <w:rsid w:val="005075F7"/>
    <w:rsid w:val="00521501"/>
    <w:rsid w:val="0052169D"/>
    <w:rsid w:val="00522252"/>
    <w:rsid w:val="0052417E"/>
    <w:rsid w:val="00525B7B"/>
    <w:rsid w:val="00527D6A"/>
    <w:rsid w:val="00533BCE"/>
    <w:rsid w:val="005350BA"/>
    <w:rsid w:val="00543348"/>
    <w:rsid w:val="00544C0C"/>
    <w:rsid w:val="0054683F"/>
    <w:rsid w:val="00547174"/>
    <w:rsid w:val="00554857"/>
    <w:rsid w:val="00556E96"/>
    <w:rsid w:val="005575DC"/>
    <w:rsid w:val="005620AD"/>
    <w:rsid w:val="00571EE7"/>
    <w:rsid w:val="005748C0"/>
    <w:rsid w:val="005748ED"/>
    <w:rsid w:val="005815B1"/>
    <w:rsid w:val="005817BD"/>
    <w:rsid w:val="005902DA"/>
    <w:rsid w:val="005951BC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3D9F"/>
    <w:rsid w:val="006259B6"/>
    <w:rsid w:val="00631467"/>
    <w:rsid w:val="0063303A"/>
    <w:rsid w:val="006333E4"/>
    <w:rsid w:val="00641826"/>
    <w:rsid w:val="00653F63"/>
    <w:rsid w:val="00661160"/>
    <w:rsid w:val="00661579"/>
    <w:rsid w:val="0066209A"/>
    <w:rsid w:val="00673382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6A1F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1396E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3DD"/>
    <w:rsid w:val="00753439"/>
    <w:rsid w:val="00754EA3"/>
    <w:rsid w:val="00764390"/>
    <w:rsid w:val="007678D8"/>
    <w:rsid w:val="00770FB5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A7A80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505D2"/>
    <w:rsid w:val="008506C9"/>
    <w:rsid w:val="00850F92"/>
    <w:rsid w:val="00856BEC"/>
    <w:rsid w:val="008574D2"/>
    <w:rsid w:val="008602D3"/>
    <w:rsid w:val="008611B0"/>
    <w:rsid w:val="00863087"/>
    <w:rsid w:val="00872B13"/>
    <w:rsid w:val="00881C17"/>
    <w:rsid w:val="00884037"/>
    <w:rsid w:val="00887BCE"/>
    <w:rsid w:val="00891A47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4602"/>
    <w:rsid w:val="00966F74"/>
    <w:rsid w:val="0097476C"/>
    <w:rsid w:val="00977EED"/>
    <w:rsid w:val="00990CB4"/>
    <w:rsid w:val="00992DE3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D632A"/>
    <w:rsid w:val="009E6BE2"/>
    <w:rsid w:val="009E734D"/>
    <w:rsid w:val="009F2B92"/>
    <w:rsid w:val="009F2CFB"/>
    <w:rsid w:val="00A000D6"/>
    <w:rsid w:val="00A02CA8"/>
    <w:rsid w:val="00A02D1F"/>
    <w:rsid w:val="00A04B11"/>
    <w:rsid w:val="00A058B2"/>
    <w:rsid w:val="00A144D2"/>
    <w:rsid w:val="00A20D27"/>
    <w:rsid w:val="00A2369B"/>
    <w:rsid w:val="00A23735"/>
    <w:rsid w:val="00A2435A"/>
    <w:rsid w:val="00A24F78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73E63"/>
    <w:rsid w:val="00A77173"/>
    <w:rsid w:val="00A80209"/>
    <w:rsid w:val="00A81A09"/>
    <w:rsid w:val="00A93BBB"/>
    <w:rsid w:val="00A95E70"/>
    <w:rsid w:val="00A977D0"/>
    <w:rsid w:val="00AA0672"/>
    <w:rsid w:val="00AA1AAF"/>
    <w:rsid w:val="00AA281A"/>
    <w:rsid w:val="00AA565E"/>
    <w:rsid w:val="00AA6D16"/>
    <w:rsid w:val="00AB01FE"/>
    <w:rsid w:val="00AC030F"/>
    <w:rsid w:val="00AC36F3"/>
    <w:rsid w:val="00AC4A26"/>
    <w:rsid w:val="00AC5943"/>
    <w:rsid w:val="00AC6C28"/>
    <w:rsid w:val="00AC6C9F"/>
    <w:rsid w:val="00AD548A"/>
    <w:rsid w:val="00AE2419"/>
    <w:rsid w:val="00AE26FC"/>
    <w:rsid w:val="00AE5847"/>
    <w:rsid w:val="00AF4F02"/>
    <w:rsid w:val="00B062DA"/>
    <w:rsid w:val="00B1075C"/>
    <w:rsid w:val="00B11438"/>
    <w:rsid w:val="00B119B0"/>
    <w:rsid w:val="00B1387B"/>
    <w:rsid w:val="00B15C90"/>
    <w:rsid w:val="00B1600F"/>
    <w:rsid w:val="00B208C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D5630"/>
    <w:rsid w:val="00BE03AA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1EB7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364A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25FE"/>
    <w:rsid w:val="00CF7E05"/>
    <w:rsid w:val="00D0374A"/>
    <w:rsid w:val="00D104AE"/>
    <w:rsid w:val="00D1152B"/>
    <w:rsid w:val="00D12590"/>
    <w:rsid w:val="00D12F82"/>
    <w:rsid w:val="00D14D5E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3D8F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6A06"/>
    <w:rsid w:val="00DF63DE"/>
    <w:rsid w:val="00DF77BB"/>
    <w:rsid w:val="00E05215"/>
    <w:rsid w:val="00E06A09"/>
    <w:rsid w:val="00E06FB6"/>
    <w:rsid w:val="00E0732B"/>
    <w:rsid w:val="00E10FC6"/>
    <w:rsid w:val="00E13E33"/>
    <w:rsid w:val="00E1414E"/>
    <w:rsid w:val="00E14B22"/>
    <w:rsid w:val="00E16B80"/>
    <w:rsid w:val="00E17074"/>
    <w:rsid w:val="00E25967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670D3"/>
    <w:rsid w:val="00E67F18"/>
    <w:rsid w:val="00E7024F"/>
    <w:rsid w:val="00E706C3"/>
    <w:rsid w:val="00E7425F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B27FE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172C9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1BE2"/>
    <w:rsid w:val="00F554DF"/>
    <w:rsid w:val="00F560B9"/>
    <w:rsid w:val="00F61D4A"/>
    <w:rsid w:val="00F64FC2"/>
    <w:rsid w:val="00F729E0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5F3D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3837-E332-4148-9BAC-3DF6DB3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2021-12-27T05:23:00Z</cp:lastPrinted>
  <dcterms:created xsi:type="dcterms:W3CDTF">2022-07-05T07:38:00Z</dcterms:created>
  <dcterms:modified xsi:type="dcterms:W3CDTF">2022-07-27T08:38:00Z</dcterms:modified>
</cp:coreProperties>
</file>